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1E0252">
        <w:rPr>
          <w:rFonts w:ascii="Sylfaen" w:hAnsi="Sylfaen"/>
          <w:b/>
          <w:bCs/>
          <w:lang w:val="ka-GE"/>
        </w:rPr>
        <w:t>სითხე კონცენტრატი დეზობარიერების</w:t>
      </w:r>
      <w:r w:rsidR="001E0252">
        <w:rPr>
          <w:rFonts w:ascii="Sylfaen" w:hAnsi="Sylfaen"/>
          <w:b/>
          <w:bCs/>
          <w:lang w:val="en-US"/>
        </w:rPr>
        <w:t xml:space="preserve"> (20</w:t>
      </w:r>
      <w:r w:rsidR="001E0252">
        <w:rPr>
          <w:rFonts w:ascii="Sylfaen" w:hAnsi="Sylfaen"/>
          <w:b/>
          <w:bCs/>
          <w:lang w:val="ka-GE"/>
        </w:rPr>
        <w:t>ლიტრი)</w:t>
      </w:r>
      <w:r w:rsidR="001E0252">
        <w:rPr>
          <w:color w:val="000000" w:themeColor="text1"/>
        </w:rPr>
        <w:t>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807562">
        <w:rPr>
          <w:rFonts w:ascii="Sylfaen" w:hAnsi="Sylfaen"/>
          <w:b/>
          <w:bCs/>
        </w:rPr>
        <w:t>0</w:t>
      </w:r>
      <w:r w:rsidR="00EC7B02">
        <w:rPr>
          <w:rFonts w:ascii="Sylfaen" w:hAnsi="Sylfaen"/>
          <w:b/>
          <w:bCs/>
          <w:lang w:val="en-US"/>
        </w:rPr>
        <w:t>8</w:t>
      </w:r>
      <w:bookmarkStart w:id="24" w:name="_GoBack"/>
      <w:bookmarkEnd w:id="24"/>
      <w:r w:rsidR="00CC286D">
        <w:rPr>
          <w:rFonts w:ascii="Sylfaen" w:hAnsi="Sylfaen"/>
          <w:b/>
          <w:bCs/>
          <w:lang w:val="ka-GE"/>
        </w:rPr>
        <w:t>.0</w:t>
      </w:r>
      <w:r w:rsidR="00CC286D" w:rsidRPr="00807562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0D7656"/>
    <w:rsid w:val="001678FF"/>
    <w:rsid w:val="001A66B4"/>
    <w:rsid w:val="001E0252"/>
    <w:rsid w:val="002714D6"/>
    <w:rsid w:val="00287529"/>
    <w:rsid w:val="002F7CB4"/>
    <w:rsid w:val="00377915"/>
    <w:rsid w:val="00573B98"/>
    <w:rsid w:val="005A38A5"/>
    <w:rsid w:val="00697F81"/>
    <w:rsid w:val="00807562"/>
    <w:rsid w:val="0098166E"/>
    <w:rsid w:val="009D1F1D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EC7B02"/>
    <w:rsid w:val="00EE2FBD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12</cp:revision>
  <dcterms:created xsi:type="dcterms:W3CDTF">2020-05-29T13:58:00Z</dcterms:created>
  <dcterms:modified xsi:type="dcterms:W3CDTF">2020-07-01T10:56:00Z</dcterms:modified>
</cp:coreProperties>
</file>