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9FE0" w14:textId="6674DA4B" w:rsidR="006101DC" w:rsidRDefault="00AB1556" w:rsidP="00A83340">
      <w:pPr>
        <w:spacing w:after="0"/>
        <w:ind w:hanging="630"/>
        <w:jc w:val="center"/>
        <w:rPr>
          <w:rFonts w:ascii="Times New Roman" w:hAnsi="Times New Roman"/>
          <w:b/>
          <w:sz w:val="20"/>
          <w:szCs w:val="20"/>
          <w:lang w:val="en-US"/>
        </w:rPr>
      </w:pPr>
      <w:r>
        <w:rPr>
          <w:rFonts w:ascii="Times New Roman" w:hAnsi="Times New Roman"/>
          <w:b/>
          <w:noProof/>
          <w:sz w:val="20"/>
          <w:szCs w:val="20"/>
          <w:lang w:val="en-US"/>
        </w:rPr>
        <w:drawing>
          <wp:inline distT="0" distB="0" distL="0" distR="0" wp14:anchorId="4459993A" wp14:editId="419E06BA">
            <wp:extent cx="6457950" cy="923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9239250"/>
                    </a:xfrm>
                    <a:prstGeom prst="rect">
                      <a:avLst/>
                    </a:prstGeom>
                    <a:noFill/>
                    <a:ln>
                      <a:noFill/>
                    </a:ln>
                  </pic:spPr>
                </pic:pic>
              </a:graphicData>
            </a:graphic>
          </wp:inline>
        </w:drawing>
      </w:r>
    </w:p>
    <w:p w14:paraId="566902EE" w14:textId="2BEFBC11" w:rsidR="00AB1556" w:rsidRDefault="00AB1556" w:rsidP="00A83340">
      <w:pPr>
        <w:spacing w:after="0"/>
        <w:ind w:hanging="630"/>
        <w:jc w:val="center"/>
        <w:rPr>
          <w:rFonts w:ascii="Times New Roman" w:hAnsi="Times New Roman"/>
          <w:b/>
          <w:sz w:val="20"/>
          <w:szCs w:val="20"/>
          <w:lang w:val="en-US"/>
        </w:rPr>
      </w:pPr>
    </w:p>
    <w:p w14:paraId="104D72D5" w14:textId="68F0C0FC" w:rsidR="00AB1556" w:rsidRDefault="00AB1556" w:rsidP="00A83340">
      <w:pPr>
        <w:spacing w:after="0"/>
        <w:ind w:hanging="630"/>
        <w:jc w:val="center"/>
        <w:rPr>
          <w:rFonts w:ascii="Times New Roman" w:hAnsi="Times New Roman"/>
          <w:b/>
          <w:sz w:val="20"/>
          <w:szCs w:val="20"/>
          <w:lang w:val="en-US"/>
        </w:rPr>
      </w:pPr>
    </w:p>
    <w:p w14:paraId="22650482" w14:textId="6DE36C55" w:rsidR="00AB1556" w:rsidRDefault="00AB1556" w:rsidP="00A83340">
      <w:pPr>
        <w:spacing w:after="0"/>
        <w:ind w:hanging="630"/>
        <w:jc w:val="center"/>
        <w:rPr>
          <w:rFonts w:ascii="Times New Roman" w:hAnsi="Times New Roman"/>
          <w:b/>
          <w:sz w:val="20"/>
          <w:szCs w:val="20"/>
          <w:lang w:val="en-US"/>
        </w:rPr>
      </w:pPr>
    </w:p>
    <w:p w14:paraId="5040CA6C" w14:textId="60A265AD" w:rsidR="00AB1556" w:rsidRDefault="00AB1556" w:rsidP="00A83340">
      <w:pPr>
        <w:spacing w:after="0"/>
        <w:ind w:hanging="630"/>
        <w:jc w:val="center"/>
        <w:rPr>
          <w:rFonts w:ascii="Times New Roman" w:hAnsi="Times New Roman"/>
          <w:b/>
          <w:sz w:val="20"/>
          <w:szCs w:val="20"/>
          <w:lang w:val="en-US"/>
        </w:rPr>
      </w:pPr>
    </w:p>
    <w:p w14:paraId="6EEB479D" w14:textId="4EFEE154" w:rsidR="00B74C62" w:rsidRDefault="00B74C62" w:rsidP="00BF013B">
      <w:pPr>
        <w:spacing w:after="0"/>
        <w:rPr>
          <w:rFonts w:ascii="Times New Roman" w:hAnsi="Times New Roman"/>
          <w:b/>
          <w:color w:val="A6A6A6"/>
          <w:sz w:val="32"/>
          <w:szCs w:val="32"/>
          <w:lang w:val="en-US"/>
        </w:rPr>
      </w:pP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2D30311" w14:textId="77777777" w:rsidR="00533E5A" w:rsidRDefault="00533E5A" w:rsidP="00D13332">
      <w:pPr>
        <w:spacing w:after="0"/>
        <w:rPr>
          <w:rFonts w:ascii="Sylfaen" w:hAnsi="Sylfaen"/>
          <w:b/>
          <w:u w:val="single"/>
          <w:lang w:val="ka-GE"/>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vertAnchor="page" w:horzAnchor="margin" w:tblpY="826"/>
        <w:tblW w:w="10485" w:type="dxa"/>
        <w:tblLayout w:type="fixed"/>
        <w:tblLook w:val="04A0" w:firstRow="1" w:lastRow="0" w:firstColumn="1" w:lastColumn="0" w:noHBand="0" w:noVBand="1"/>
      </w:tblPr>
      <w:tblGrid>
        <w:gridCol w:w="7647"/>
        <w:gridCol w:w="2838"/>
      </w:tblGrid>
      <w:tr w:rsidR="00681E3E" w:rsidRPr="00A83340" w14:paraId="4732B65A" w14:textId="77777777" w:rsidTr="00AB1556">
        <w:trPr>
          <w:trHeight w:val="8630"/>
        </w:trPr>
        <w:tc>
          <w:tcPr>
            <w:tcW w:w="7647" w:type="dxa"/>
          </w:tcPr>
          <w:p w14:paraId="15C00AC0" w14:textId="77777777" w:rsidR="00681E3E" w:rsidRDefault="00681E3E" w:rsidP="00AB1556">
            <w:pPr>
              <w:pStyle w:val="TOCHeading"/>
              <w:spacing w:line="240" w:lineRule="auto"/>
              <w:rPr>
                <w:rFonts w:ascii="Times New Roman" w:hAnsi="Times New Roman"/>
                <w:color w:val="5FE7D5"/>
              </w:rPr>
            </w:pPr>
          </w:p>
          <w:p w14:paraId="03691CBA" w14:textId="77777777" w:rsidR="00681E3E" w:rsidRDefault="00681E3E" w:rsidP="00AB1556">
            <w:pPr>
              <w:pStyle w:val="TOCHeading"/>
              <w:spacing w:line="240" w:lineRule="auto"/>
              <w:rPr>
                <w:rFonts w:ascii="Times New Roman" w:hAnsi="Times New Roman"/>
                <w:color w:val="5FE7D5"/>
              </w:rPr>
            </w:pPr>
          </w:p>
          <w:p w14:paraId="727FCF27" w14:textId="77777777" w:rsidR="00681E3E" w:rsidRDefault="00681E3E" w:rsidP="00AB1556">
            <w:pPr>
              <w:pStyle w:val="TOCHeading"/>
              <w:spacing w:line="240" w:lineRule="auto"/>
              <w:rPr>
                <w:rFonts w:ascii="Times New Roman" w:hAnsi="Times New Roman"/>
                <w:color w:val="5FE7D5"/>
              </w:rPr>
            </w:pPr>
          </w:p>
          <w:p w14:paraId="714AA13E" w14:textId="77777777" w:rsidR="00681E3E" w:rsidRDefault="00681E3E" w:rsidP="00AB1556">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rsidP="00AB1556">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rsidP="00AB1556">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rsidP="00AB1556">
            <w:pPr>
              <w:spacing w:after="0" w:line="240" w:lineRule="auto"/>
              <w:rPr>
                <w:rFonts w:ascii="Times New Roman" w:hAnsi="Times New Roman"/>
                <w:color w:val="9CC2E5" w:themeColor="accent1" w:themeTint="99"/>
                <w:lang w:val="en-US"/>
              </w:rPr>
            </w:pPr>
          </w:p>
          <w:p w14:paraId="2BEB924D" w14:textId="77777777" w:rsidR="00681E3E" w:rsidRDefault="00681E3E" w:rsidP="00AB1556">
            <w:pPr>
              <w:pStyle w:val="TOCHeading"/>
              <w:spacing w:line="240" w:lineRule="auto"/>
              <w:rPr>
                <w:rFonts w:ascii="Times New Roman" w:hAnsi="Times New Roman"/>
                <w:color w:val="5FE7D5"/>
                <w:sz w:val="24"/>
                <w:szCs w:val="24"/>
              </w:rPr>
            </w:pPr>
          </w:p>
          <w:p w14:paraId="075865B9" w14:textId="77777777" w:rsidR="00681E3E" w:rsidRDefault="00681E3E" w:rsidP="00AB1556">
            <w:pPr>
              <w:pStyle w:val="TOCHeading"/>
              <w:spacing w:line="240" w:lineRule="auto"/>
              <w:rPr>
                <w:rFonts w:ascii="Times New Roman" w:hAnsi="Times New Roman"/>
                <w:color w:val="5FE7D5"/>
                <w:sz w:val="24"/>
                <w:szCs w:val="24"/>
              </w:rPr>
            </w:pPr>
          </w:p>
          <w:p w14:paraId="6EF00AC3" w14:textId="0C58E3D6" w:rsidR="00681E3E" w:rsidRDefault="00681E3E" w:rsidP="00AB1556">
            <w:pPr>
              <w:tabs>
                <w:tab w:val="left" w:pos="8325"/>
              </w:tabs>
              <w:spacing w:after="0" w:line="240" w:lineRule="auto"/>
              <w:rPr>
                <w:rFonts w:ascii="Times New Roman" w:hAnsi="Times New Roman"/>
                <w:sz w:val="24"/>
                <w:szCs w:val="24"/>
                <w:lang w:val="en-US"/>
              </w:rPr>
            </w:pPr>
          </w:p>
          <w:p w14:paraId="49293A6B" w14:textId="77777777" w:rsidR="003063EA" w:rsidRPr="00681E3E" w:rsidRDefault="003063EA" w:rsidP="00AB1556">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rsidP="00AB1556">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rsidP="00AB1556">
            <w:pPr>
              <w:spacing w:after="0" w:line="240" w:lineRule="auto"/>
              <w:rPr>
                <w:rFonts w:ascii="Times New Roman" w:hAnsi="Times New Roman"/>
                <w:sz w:val="24"/>
                <w:szCs w:val="24"/>
                <w:lang w:val="en-US"/>
              </w:rPr>
            </w:pPr>
          </w:p>
          <w:p w14:paraId="1D0090C0" w14:textId="77777777" w:rsidR="00681E3E" w:rsidRDefault="00681E3E" w:rsidP="00AB1556">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026BD1D5" w:rsidR="00681E3E" w:rsidRPr="00681E3E" w:rsidRDefault="00AB1556" w:rsidP="00AB1556">
            <w:pPr>
              <w:spacing w:after="0" w:line="240" w:lineRule="auto"/>
              <w:rPr>
                <w:rFonts w:ascii="Times New Roman" w:hAnsi="Times New Roman"/>
                <w:sz w:val="24"/>
                <w:szCs w:val="24"/>
                <w:lang w:val="en-US"/>
              </w:rPr>
            </w:pPr>
            <w:r>
              <w:rPr>
                <w:rFonts w:ascii="Times New Roman" w:hAnsi="Times New Roman"/>
                <w:sz w:val="24"/>
                <w:szCs w:val="24"/>
                <w:lang w:val="en-US"/>
              </w:rPr>
              <w:t>29</w:t>
            </w:r>
            <w:r w:rsidR="00681E3E" w:rsidRPr="00681E3E">
              <w:rPr>
                <w:rFonts w:ascii="Times New Roman" w:hAnsi="Times New Roman"/>
                <w:sz w:val="24"/>
                <w:szCs w:val="24"/>
                <w:lang w:val="en-US"/>
              </w:rPr>
              <w:t xml:space="preserve">. I. </w:t>
            </w:r>
            <w:proofErr w:type="spellStart"/>
            <w:r w:rsidR="00681E3E" w:rsidRPr="00681E3E">
              <w:rPr>
                <w:rFonts w:ascii="Times New Roman" w:hAnsi="Times New Roman"/>
                <w:sz w:val="24"/>
                <w:szCs w:val="24"/>
                <w:lang w:val="en-US"/>
              </w:rPr>
              <w:t>Chavchavadze</w:t>
            </w:r>
            <w:proofErr w:type="spellEnd"/>
            <w:r w:rsidR="00681E3E" w:rsidRPr="00681E3E">
              <w:rPr>
                <w:rFonts w:ascii="Times New Roman" w:hAnsi="Times New Roman"/>
                <w:sz w:val="24"/>
                <w:szCs w:val="24"/>
                <w:lang w:val="en-US"/>
              </w:rPr>
              <w:t xml:space="preserve"> Avenue, Tbilisi 0179, Georgia</w:t>
            </w:r>
          </w:p>
          <w:p w14:paraId="12C87F90"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rsidP="00AB1556">
            <w:pPr>
              <w:spacing w:after="0" w:line="240" w:lineRule="auto"/>
              <w:rPr>
                <w:rFonts w:ascii="Times New Roman" w:hAnsi="Times New Roman"/>
                <w:sz w:val="24"/>
                <w:szCs w:val="24"/>
                <w:lang w:val="en-US"/>
              </w:rPr>
            </w:pPr>
          </w:p>
          <w:p w14:paraId="154BC28E" w14:textId="77777777" w:rsidR="00681E3E" w:rsidRPr="00681E3E" w:rsidRDefault="00681E3E" w:rsidP="00AB1556">
            <w:pPr>
              <w:spacing w:after="0" w:line="240" w:lineRule="auto"/>
              <w:rPr>
                <w:rFonts w:ascii="Times New Roman" w:hAnsi="Times New Roman"/>
                <w:sz w:val="24"/>
                <w:szCs w:val="24"/>
                <w:lang w:val="en-US"/>
              </w:rPr>
            </w:pPr>
          </w:p>
          <w:p w14:paraId="16738074" w14:textId="5CE9CE67" w:rsidR="00681E3E" w:rsidRDefault="008249A1" w:rsidP="00AB1556">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October</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20</w:t>
            </w:r>
            <w:r w:rsidR="00681E3E">
              <w:rPr>
                <w:rFonts w:ascii="Times New Roman" w:hAnsi="Times New Roman"/>
                <w:color w:val="9CC2E5" w:themeColor="accent1" w:themeTint="99"/>
                <w:sz w:val="24"/>
                <w:szCs w:val="24"/>
              </w:rPr>
              <w:t>, 20</w:t>
            </w:r>
            <w:r w:rsidR="00092794">
              <w:rPr>
                <w:rFonts w:ascii="Times New Roman" w:hAnsi="Times New Roman"/>
                <w:color w:val="9CC2E5" w:themeColor="accent1" w:themeTint="99"/>
                <w:sz w:val="24"/>
                <w:szCs w:val="24"/>
              </w:rPr>
              <w:t>2</w:t>
            </w:r>
            <w:r>
              <w:rPr>
                <w:rFonts w:ascii="Times New Roman" w:hAnsi="Times New Roman"/>
                <w:color w:val="9CC2E5" w:themeColor="accent1" w:themeTint="99"/>
                <w:sz w:val="24"/>
                <w:szCs w:val="24"/>
              </w:rPr>
              <w:t>1</w:t>
            </w:r>
          </w:p>
          <w:p w14:paraId="6813A4D3" w14:textId="77777777" w:rsidR="00681E3E" w:rsidRPr="00681E3E" w:rsidRDefault="00681E3E" w:rsidP="00AB1556">
            <w:pPr>
              <w:spacing w:after="0" w:line="240" w:lineRule="auto"/>
              <w:rPr>
                <w:rFonts w:ascii="Times New Roman" w:hAnsi="Times New Roman"/>
                <w:lang w:val="en-US"/>
              </w:rPr>
            </w:pPr>
          </w:p>
          <w:p w14:paraId="54A725D1" w14:textId="77777777" w:rsidR="00681E3E" w:rsidRPr="00681E3E" w:rsidRDefault="00681E3E" w:rsidP="00AB1556">
            <w:pPr>
              <w:spacing w:after="0" w:line="240" w:lineRule="auto"/>
              <w:rPr>
                <w:rFonts w:ascii="Times New Roman" w:hAnsi="Times New Roman"/>
                <w:lang w:val="en-US"/>
              </w:rPr>
            </w:pPr>
          </w:p>
          <w:p w14:paraId="2B62A3BC" w14:textId="77777777" w:rsidR="00681E3E" w:rsidRPr="00681E3E" w:rsidRDefault="00681E3E" w:rsidP="00AB1556">
            <w:pPr>
              <w:spacing w:after="0" w:line="240" w:lineRule="auto"/>
              <w:rPr>
                <w:rFonts w:ascii="Times New Roman" w:hAnsi="Times New Roman"/>
                <w:lang w:val="en-US"/>
              </w:rPr>
            </w:pPr>
          </w:p>
          <w:p w14:paraId="023030DA" w14:textId="77777777" w:rsidR="00681E3E" w:rsidRPr="00681E3E" w:rsidRDefault="00681E3E" w:rsidP="00AB1556">
            <w:pPr>
              <w:spacing w:after="0" w:line="240" w:lineRule="auto"/>
              <w:rPr>
                <w:rFonts w:ascii="Times New Roman" w:hAnsi="Times New Roman"/>
                <w:lang w:val="en-US"/>
              </w:rPr>
            </w:pPr>
          </w:p>
          <w:p w14:paraId="0DCECE99"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rsidP="00AB1556">
            <w:pPr>
              <w:pStyle w:val="TOCHeading"/>
              <w:spacing w:line="240" w:lineRule="auto"/>
              <w:rPr>
                <w:rFonts w:ascii="Times New Roman" w:hAnsi="Times New Roman"/>
                <w:color w:val="5FE7D5"/>
              </w:rPr>
            </w:pPr>
          </w:p>
          <w:p w14:paraId="56A34552" w14:textId="77777777" w:rsidR="00681E3E" w:rsidRPr="00681E3E" w:rsidRDefault="00681E3E" w:rsidP="00AB1556">
            <w:pPr>
              <w:spacing w:after="0" w:line="240" w:lineRule="auto"/>
              <w:rPr>
                <w:rFonts w:ascii="Times New Roman" w:hAnsi="Times New Roman"/>
                <w:lang w:val="en-US"/>
              </w:rPr>
            </w:pPr>
          </w:p>
          <w:p w14:paraId="50A750F3" w14:textId="77777777" w:rsidR="00681E3E" w:rsidRDefault="00681E3E" w:rsidP="00AB1556">
            <w:pPr>
              <w:pStyle w:val="TOCHeading"/>
              <w:spacing w:line="240" w:lineRule="auto"/>
              <w:rPr>
                <w:rFonts w:ascii="Times New Roman" w:hAnsi="Times New Roman"/>
              </w:rPr>
            </w:pPr>
          </w:p>
        </w:tc>
        <w:tc>
          <w:tcPr>
            <w:tcW w:w="2838" w:type="dxa"/>
          </w:tcPr>
          <w:p w14:paraId="3DD96547" w14:textId="77777777" w:rsidR="00681E3E" w:rsidRDefault="00681E3E" w:rsidP="00AB1556">
            <w:pPr>
              <w:pStyle w:val="TOCHeading"/>
              <w:spacing w:line="240" w:lineRule="auto"/>
              <w:jc w:val="center"/>
              <w:rPr>
                <w:rFonts w:ascii="Times New Roman" w:hAnsi="Times New Roman"/>
                <w:color w:val="5FE7D5"/>
              </w:rPr>
            </w:pPr>
          </w:p>
          <w:p w14:paraId="580F16F4" w14:textId="77777777" w:rsidR="00681E3E" w:rsidRDefault="00681E3E" w:rsidP="00AB1556">
            <w:pPr>
              <w:pStyle w:val="TOCHeading"/>
              <w:spacing w:line="240" w:lineRule="auto"/>
              <w:jc w:val="center"/>
              <w:rPr>
                <w:rFonts w:ascii="Times New Roman" w:hAnsi="Times New Roman"/>
                <w:color w:val="5FE7D5"/>
              </w:rPr>
            </w:pPr>
          </w:p>
          <w:p w14:paraId="55F07764" w14:textId="77777777" w:rsidR="00681E3E" w:rsidRDefault="00681E3E" w:rsidP="00AB1556">
            <w:pPr>
              <w:pStyle w:val="TOCHeading"/>
              <w:spacing w:line="240" w:lineRule="auto"/>
              <w:rPr>
                <w:rFonts w:ascii="Times New Roman" w:hAnsi="Times New Roman"/>
                <w:color w:val="5FE7D5"/>
              </w:rPr>
            </w:pPr>
          </w:p>
          <w:p w14:paraId="05210EA0" w14:textId="77777777" w:rsidR="00681E3E" w:rsidRDefault="00681E3E" w:rsidP="00AB1556">
            <w:pPr>
              <w:pStyle w:val="TOCHeading"/>
              <w:spacing w:line="240" w:lineRule="auto"/>
              <w:jc w:val="center"/>
              <w:rPr>
                <w:rFonts w:ascii="Times New Roman" w:hAnsi="Times New Roman"/>
                <w:color w:val="5FE7D5"/>
              </w:rPr>
            </w:pPr>
          </w:p>
          <w:p w14:paraId="603AB4B0" w14:textId="77777777" w:rsidR="00681E3E" w:rsidRDefault="00681E3E" w:rsidP="00AB1556">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7A90C8E7" w:rsidR="00811E3A" w:rsidRPr="000E15D0" w:rsidRDefault="00AB1556"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proofErr w:type="spellStart"/>
            <w:proofErr w:type="gramStart"/>
            <w:r>
              <w:rPr>
                <w:rFonts w:ascii="Times New Roman" w:hAnsi="Times New Roman"/>
                <w:b w:val="0"/>
                <w:sz w:val="18"/>
                <w:lang w:val="en-US"/>
              </w:rPr>
              <w:t>G.Popkhadze</w:t>
            </w:r>
            <w:proofErr w:type="spellEnd"/>
            <w:proofErr w:type="gramEnd"/>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6D453C4C" w:rsidR="00811E3A" w:rsidRPr="004014E7" w:rsidRDefault="00AB1556"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KG</w:t>
            </w:r>
            <w:r w:rsidR="00811E3A" w:rsidRPr="00477941">
              <w:rPr>
                <w:rFonts w:ascii="Times New Roman" w:hAnsi="Times New Roman"/>
                <w:sz w:val="16"/>
              </w:rPr>
              <w:t>-PQA-00</w:t>
            </w:r>
            <w:r w:rsidR="004014E7">
              <w:rPr>
                <w:rFonts w:ascii="Times New Roman" w:hAnsi="Times New Roman"/>
                <w:sz w:val="16"/>
                <w:lang w:val="en-US"/>
              </w:rPr>
              <w:t>1</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4C25D6B" w:rsidR="00681E3E" w:rsidRPr="00AB1556" w:rsidRDefault="00AB15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n-US"/>
              </w:rPr>
            </w:pPr>
            <w:proofErr w:type="spellStart"/>
            <w:proofErr w:type="gramStart"/>
            <w:r>
              <w:rPr>
                <w:rFonts w:ascii="Times New Roman" w:hAnsi="Times New Roman"/>
                <w:sz w:val="18"/>
                <w:lang w:val="en-US"/>
              </w:rPr>
              <w:t>G.karazanishvili</w:t>
            </w:r>
            <w:proofErr w:type="spellEnd"/>
            <w:proofErr w:type="gramEnd"/>
          </w:p>
        </w:tc>
        <w:tc>
          <w:tcPr>
            <w:tcW w:w="1816" w:type="dxa"/>
            <w:tcBorders>
              <w:top w:val="nil"/>
              <w:left w:val="nil"/>
              <w:bottom w:val="single" w:sz="4" w:space="0" w:color="7F7F7F" w:themeColor="text1" w:themeTint="80"/>
              <w:right w:val="nil"/>
            </w:tcBorders>
            <w:hideMark/>
          </w:tcPr>
          <w:p w14:paraId="12A28FB8" w14:textId="224ED2E4"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6C142899" w:rsidR="00681E3E" w:rsidRDefault="00AB15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20-Oct</w:t>
            </w:r>
            <w:r w:rsidR="00811E3A">
              <w:rPr>
                <w:rFonts w:ascii="Times New Roman" w:hAnsi="Times New Roman"/>
                <w:sz w:val="16"/>
              </w:rPr>
              <w:t>-20</w:t>
            </w:r>
            <w:r w:rsidR="00811E3A">
              <w:rPr>
                <w:rFonts w:ascii="Times New Roman" w:hAnsi="Times New Roman"/>
                <w:sz w:val="16"/>
                <w:lang w:val="en-US"/>
              </w:rPr>
              <w:t>2</w:t>
            </w:r>
            <w:r>
              <w:rPr>
                <w:rFonts w:ascii="Times New Roman" w:hAnsi="Times New Roman"/>
                <w:sz w:val="16"/>
                <w:lang w:val="en-US"/>
              </w:rPr>
              <w:t>1</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0D66567" w14:textId="77777777" w:rsidR="00A83340" w:rsidRDefault="00A83340" w:rsidP="00681E3E">
      <w:pPr>
        <w:jc w:val="center"/>
        <w:rPr>
          <w:rFonts w:ascii="Sylfaen" w:hAnsi="Sylfaen"/>
          <w:b/>
          <w:sz w:val="28"/>
        </w:rPr>
      </w:pPr>
    </w:p>
    <w:p w14:paraId="53D45F3E" w14:textId="77777777" w:rsidR="00A83340" w:rsidRDefault="00A83340" w:rsidP="00681E3E">
      <w:pPr>
        <w:jc w:val="center"/>
        <w:rPr>
          <w:rFonts w:ascii="Sylfaen" w:hAnsi="Sylfaen"/>
          <w:b/>
          <w:sz w:val="28"/>
        </w:rPr>
      </w:pPr>
    </w:p>
    <w:p w14:paraId="6128A1FB" w14:textId="1BFCFF21"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6D92EB34" w:rsidR="00681E3E" w:rsidRPr="00681E3E" w:rsidRDefault="00567BB2" w:rsidP="00681E3E">
      <w:pPr>
        <w:jc w:val="center"/>
        <w:rPr>
          <w:rFonts w:ascii="Sylfaen" w:hAnsi="Sylfaen"/>
          <w:sz w:val="24"/>
          <w:lang w:val="en-US"/>
        </w:rPr>
      </w:pPr>
      <w:r>
        <w:rPr>
          <w:rFonts w:ascii="Sylfaen" w:hAnsi="Sylfaen"/>
          <w:sz w:val="24"/>
          <w:lang w:val="en-US"/>
        </w:rPr>
        <w:t>FLS</w:t>
      </w:r>
      <w:r w:rsidR="00681E3E" w:rsidRPr="00681E3E">
        <w:rPr>
          <w:rFonts w:ascii="Sylfaen" w:hAnsi="Sylfaen"/>
          <w:sz w:val="24"/>
          <w:lang w:val="en-US"/>
        </w:rPr>
        <w:t xml:space="preserve"> Design Works for </w:t>
      </w:r>
      <w:r w:rsidR="00E13D5B">
        <w:rPr>
          <w:rFonts w:ascii="Times New Roman" w:hAnsi="Times New Roman"/>
          <w:sz w:val="24"/>
          <w:lang w:val="en-US"/>
        </w:rPr>
        <w:t>Kings Garden Multifunctional Complex</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5A8EF08E" w:rsidR="00681E3E" w:rsidRDefault="00681E3E" w:rsidP="00681E3E">
      <w:pPr>
        <w:rPr>
          <w:rFonts w:ascii="Sylfaen" w:hAnsi="Sylfaen"/>
          <w:b/>
          <w:lang w:val="en-US"/>
        </w:rPr>
      </w:pPr>
      <w:r w:rsidRPr="00681E3E">
        <w:rPr>
          <w:rFonts w:ascii="Sylfaen" w:hAnsi="Sylfaen"/>
          <w:b/>
          <w:lang w:val="en-US"/>
        </w:rPr>
        <w:t xml:space="preserve">INTRODUCTION </w:t>
      </w:r>
    </w:p>
    <w:p w14:paraId="38AF6701" w14:textId="77777777" w:rsidR="00976AC7" w:rsidRPr="00681E3E" w:rsidRDefault="00976AC7" w:rsidP="00681E3E">
      <w:pPr>
        <w:rPr>
          <w:rFonts w:ascii="Sylfaen" w:hAnsi="Sylfaen"/>
          <w:b/>
          <w:lang w:val="en-US"/>
        </w:rPr>
      </w:pPr>
    </w:p>
    <w:p w14:paraId="194ED570" w14:textId="77777777" w:rsidR="00A2050F" w:rsidRPr="00A2050F" w:rsidRDefault="00A2050F" w:rsidP="00A2050F">
      <w:pPr>
        <w:rPr>
          <w:rFonts w:ascii="Sylfaen" w:hAnsi="Sylfaen"/>
          <w:lang w:val="en-US"/>
        </w:rPr>
      </w:pPr>
      <w:r w:rsidRPr="00A2050F">
        <w:rPr>
          <w:rFonts w:ascii="Sylfaen" w:hAnsi="Sylfaen"/>
          <w:lang w:val="en-US"/>
        </w:rPr>
        <w:t>On July 17th, 2021 CMC has been appointed by the Client (Apollo G.S. LLC) as Pre-construction and Construction Manager for the multifunctional complex “Kings Garden” on the land plot with the following cadastral code: 01.18.04.018.067</w:t>
      </w:r>
    </w:p>
    <w:p w14:paraId="005EF8AB" w14:textId="77777777" w:rsidR="00A2050F" w:rsidRPr="00A2050F" w:rsidRDefault="00A2050F" w:rsidP="00A2050F">
      <w:pPr>
        <w:rPr>
          <w:rFonts w:ascii="Sylfaen" w:hAnsi="Sylfaen"/>
          <w:lang w:val="en-US"/>
        </w:rPr>
      </w:pPr>
      <w:r w:rsidRPr="00A2050F">
        <w:rPr>
          <w:rFonts w:ascii="Sylfaen" w:hAnsi="Sylfaen"/>
          <w:lang w:val="en-US"/>
        </w:rPr>
        <w:t>The Client intends to build 10 story multifunctional building, including parking, commercial, office and residential functions to create luxury living space in the historical district of Old Tbilisi with views on cityscape. Territory is surrounded with cultural heritages which creates unifies atmosphere and attraction for Kings Garden project.</w:t>
      </w:r>
    </w:p>
    <w:p w14:paraId="38680C12" w14:textId="77777777" w:rsidR="00A83340" w:rsidRDefault="00A83340" w:rsidP="00681E3E">
      <w:pPr>
        <w:jc w:val="both"/>
        <w:rPr>
          <w:rFonts w:ascii="Sylfaen" w:hAnsi="Sylfaen"/>
          <w:lang w:val="en-US"/>
        </w:rPr>
      </w:pPr>
    </w:p>
    <w:p w14:paraId="4B2B1906" w14:textId="77777777" w:rsidR="00A83340" w:rsidRDefault="00A83340" w:rsidP="00681E3E">
      <w:pPr>
        <w:jc w:val="both"/>
        <w:rPr>
          <w:rFonts w:ascii="Sylfaen" w:hAnsi="Sylfaen"/>
          <w:lang w:val="en-US"/>
        </w:rPr>
      </w:pPr>
    </w:p>
    <w:p w14:paraId="78E5FAD2" w14:textId="44FD3C29" w:rsidR="00A83340" w:rsidRDefault="00A83340" w:rsidP="00681E3E">
      <w:pPr>
        <w:jc w:val="both"/>
        <w:rPr>
          <w:rFonts w:ascii="Sylfaen" w:hAnsi="Sylfaen"/>
          <w:lang w:val="en-US"/>
        </w:rPr>
      </w:pPr>
    </w:p>
    <w:p w14:paraId="41F9C7BD" w14:textId="26706525" w:rsidR="00353E78" w:rsidRDefault="00353E78" w:rsidP="00681E3E">
      <w:pPr>
        <w:jc w:val="both"/>
        <w:rPr>
          <w:rFonts w:ascii="Sylfaen" w:hAnsi="Sylfaen"/>
          <w:lang w:val="en-US"/>
        </w:rPr>
      </w:pPr>
    </w:p>
    <w:p w14:paraId="40E4FADB" w14:textId="77777777" w:rsidR="00353E78" w:rsidRDefault="00353E78" w:rsidP="00681E3E">
      <w:pPr>
        <w:jc w:val="both"/>
        <w:rPr>
          <w:rFonts w:ascii="Sylfaen" w:hAnsi="Sylfaen"/>
          <w:lang w:val="en-US"/>
        </w:rPr>
      </w:pPr>
    </w:p>
    <w:p w14:paraId="5E497C3A" w14:textId="50CFEFFD"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935F05">
        <w:rPr>
          <w:rFonts w:ascii="Sylfaen" w:hAnsi="Sylfaen"/>
          <w:lang w:val="en-US"/>
        </w:rPr>
        <w:t>FLS</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450069A2"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9"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w:t>
      </w:r>
      <w:r w:rsidR="00E13D5B" w:rsidRPr="00681E3E">
        <w:rPr>
          <w:rFonts w:ascii="Sylfaen" w:hAnsi="Sylfaen"/>
          <w:lang w:val="en-US"/>
        </w:rPr>
        <w:t>Instructions</w:t>
      </w:r>
      <w:r w:rsidRPr="00681E3E">
        <w:rPr>
          <w:rFonts w:ascii="Sylfaen" w:hAnsi="Sylfaen"/>
          <w:lang w:val="en-US"/>
        </w:rPr>
        <w:t xml:space="preserve">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25B697AF" w:rsidR="00681E3E" w:rsidRPr="00681E3E" w:rsidRDefault="00681E3E" w:rsidP="00681E3E">
      <w:pPr>
        <w:jc w:val="both"/>
        <w:rPr>
          <w:rFonts w:ascii="Sylfaen" w:hAnsi="Sylfaen"/>
          <w:b/>
          <w:u w:val="single"/>
          <w:lang w:val="en-US"/>
        </w:rPr>
      </w:pPr>
      <w:r w:rsidRPr="00E13D5B">
        <w:rPr>
          <w:rFonts w:ascii="Sylfaen" w:hAnsi="Sylfaen"/>
          <w:b/>
          <w:highlight w:val="yellow"/>
          <w:u w:val="single"/>
          <w:lang w:val="en-US"/>
        </w:rPr>
        <w:t xml:space="preserve">Not later than:  18:00; </w:t>
      </w:r>
      <w:r w:rsidR="00CE5E11">
        <w:rPr>
          <w:rFonts w:ascii="Sylfaen" w:hAnsi="Sylfaen"/>
          <w:b/>
          <w:highlight w:val="yellow"/>
          <w:u w:val="single"/>
          <w:lang w:val="en-US"/>
        </w:rPr>
        <w:t>November 1</w:t>
      </w:r>
      <w:r w:rsidR="00E13D5B" w:rsidRPr="00E13D5B">
        <w:rPr>
          <w:rFonts w:ascii="Sylfaen" w:hAnsi="Sylfaen"/>
          <w:b/>
          <w:highlight w:val="yellow"/>
          <w:u w:val="single"/>
          <w:lang w:val="en-US"/>
        </w:rPr>
        <w:t>, 2021</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C60A1CE" w14:textId="77777777" w:rsidR="00A83340" w:rsidRDefault="00A83340" w:rsidP="00681E3E">
      <w:pPr>
        <w:rPr>
          <w:rFonts w:ascii="Sylfaen" w:hAnsi="Sylfaen"/>
          <w:b/>
          <w:lang w:val="en-US"/>
        </w:rPr>
      </w:pPr>
    </w:p>
    <w:p w14:paraId="641FAA83" w14:textId="77777777" w:rsidR="00A83340" w:rsidRDefault="00A83340" w:rsidP="00681E3E">
      <w:pPr>
        <w:rPr>
          <w:rFonts w:ascii="Sylfaen" w:hAnsi="Sylfaen"/>
          <w:b/>
          <w:lang w:val="en-US"/>
        </w:rPr>
      </w:pPr>
    </w:p>
    <w:p w14:paraId="1C39CEBF" w14:textId="77777777" w:rsidR="00A83340" w:rsidRDefault="00A83340" w:rsidP="00681E3E">
      <w:pPr>
        <w:rPr>
          <w:rFonts w:ascii="Sylfaen" w:hAnsi="Sylfaen"/>
          <w:b/>
          <w:lang w:val="en-US"/>
        </w:rPr>
      </w:pPr>
    </w:p>
    <w:p w14:paraId="25534CD8" w14:textId="2DDD4200"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A83340"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A83340"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A83340"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A83340"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A83340"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A83340"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A83340"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2538A131" w14:textId="77777777" w:rsidR="00681E3E" w:rsidRDefault="00681E3E" w:rsidP="00681E3E">
      <w:pPr>
        <w:widowControl w:val="0"/>
        <w:ind w:left="-360"/>
        <w:jc w:val="both"/>
        <w:rPr>
          <w:rFonts w:ascii="Sylfaen" w:hAnsi="Sylfaen"/>
        </w:rPr>
      </w:pPr>
    </w:p>
    <w:p w14:paraId="26567B1F" w14:textId="77777777" w:rsidR="00A83340" w:rsidRDefault="00A83340" w:rsidP="00681E3E">
      <w:pPr>
        <w:widowControl w:val="0"/>
        <w:ind w:left="-360"/>
        <w:jc w:val="both"/>
        <w:rPr>
          <w:rFonts w:ascii="Sylfaen" w:hAnsi="Sylfaen"/>
        </w:rPr>
      </w:pPr>
    </w:p>
    <w:p w14:paraId="3B6F6D01" w14:textId="77777777" w:rsidR="00A83340" w:rsidRDefault="00A83340" w:rsidP="00681E3E">
      <w:pPr>
        <w:widowControl w:val="0"/>
        <w:ind w:left="-360"/>
        <w:jc w:val="both"/>
        <w:rPr>
          <w:rFonts w:ascii="Sylfaen" w:hAnsi="Sylfaen"/>
        </w:rPr>
      </w:pPr>
    </w:p>
    <w:p w14:paraId="088CAB32" w14:textId="5EBE0916"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lastRenderedPageBreak/>
        <w:t xml:space="preserve">References from a minimum three former projects implemented during the last four years should be provided in the format attached below (preferences will be given to the design consultancy of the similar scope, </w:t>
      </w:r>
      <w:proofErr w:type="gramStart"/>
      <w:r w:rsidRPr="00681E3E">
        <w:rPr>
          <w:rFonts w:ascii="Sylfaen" w:hAnsi="Sylfaen"/>
          <w:sz w:val="20"/>
          <w:u w:val="single"/>
          <w:lang w:val="en-US"/>
        </w:rPr>
        <w:t>i.e.</w:t>
      </w:r>
      <w:proofErr w:type="gramEnd"/>
      <w:r w:rsidRPr="00681E3E">
        <w:rPr>
          <w:rFonts w:ascii="Sylfaen" w:hAnsi="Sylfaen"/>
          <w:sz w:val="20"/>
          <w:u w:val="single"/>
          <w:lang w:val="en-US"/>
        </w:rPr>
        <w:t xml:space="preserv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A83340"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A83340"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A83340"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A83340"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E13ADF2" w14:textId="77777777" w:rsidR="00A83340" w:rsidRDefault="00A83340" w:rsidP="00681E3E">
      <w:pPr>
        <w:ind w:left="-360"/>
        <w:rPr>
          <w:rFonts w:ascii="Sylfaen" w:hAnsi="Sylfaen"/>
          <w:b/>
          <w:lang w:val="en-US"/>
        </w:rPr>
      </w:pPr>
    </w:p>
    <w:p w14:paraId="779E9F4A" w14:textId="77777777" w:rsidR="00A83340" w:rsidRDefault="00A83340" w:rsidP="00681E3E">
      <w:pPr>
        <w:ind w:left="-360"/>
        <w:rPr>
          <w:rFonts w:ascii="Sylfaen" w:hAnsi="Sylfaen"/>
          <w:b/>
          <w:lang w:val="en-US"/>
        </w:rPr>
      </w:pPr>
    </w:p>
    <w:p w14:paraId="2E844B9A" w14:textId="77777777" w:rsidR="00A83340" w:rsidRDefault="00A83340" w:rsidP="00681E3E">
      <w:pPr>
        <w:ind w:left="-360"/>
        <w:rPr>
          <w:rFonts w:ascii="Sylfaen" w:hAnsi="Sylfaen"/>
          <w:b/>
          <w:lang w:val="en-US"/>
        </w:rPr>
      </w:pPr>
    </w:p>
    <w:p w14:paraId="711A1E68" w14:textId="77777777" w:rsidR="00A83340" w:rsidRDefault="00A83340" w:rsidP="00681E3E">
      <w:pPr>
        <w:ind w:left="-360"/>
        <w:rPr>
          <w:rFonts w:ascii="Sylfaen" w:hAnsi="Sylfaen"/>
          <w:b/>
          <w:lang w:val="en-US"/>
        </w:rPr>
      </w:pPr>
    </w:p>
    <w:p w14:paraId="34EC8D58" w14:textId="24552285"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lastRenderedPageBreak/>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77777777" w:rsidR="00681E3E" w:rsidRPr="00681E3E" w:rsidRDefault="00681E3E" w:rsidP="00681E3E">
      <w:pPr>
        <w:ind w:left="-360"/>
        <w:rPr>
          <w:rFonts w:ascii="Sylfaen" w:hAnsi="Sylfaen"/>
          <w:b/>
          <w:u w:val="single"/>
          <w:lang w:val="en-US"/>
        </w:rPr>
      </w:pPr>
    </w:p>
    <w:p w14:paraId="27A8C286" w14:textId="77777777" w:rsidR="00681E3E" w:rsidRDefault="00681E3E" w:rsidP="00681E3E">
      <w:pPr>
        <w:ind w:left="-360"/>
        <w:rPr>
          <w:rFonts w:ascii="Sylfaen" w:hAnsi="Sylfaen"/>
          <w:b/>
        </w:rPr>
      </w:pPr>
      <w:r>
        <w:rPr>
          <w:rFonts w:ascii="Sylfaen" w:hAnsi="Sylfaen"/>
          <w:b/>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3A8AD19A"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83340">
        <w:rPr>
          <w:rFonts w:ascii="Times New Roman" w:hAnsi="Times New Roman"/>
          <w:b/>
          <w:noProof/>
          <w:sz w:val="24"/>
          <w:szCs w:val="24"/>
          <w:lang w:val="en-US"/>
        </w:rPr>
        <w:lastRenderedPageBreak/>
        <w:drawing>
          <wp:inline distT="0" distB="0" distL="0" distR="0" wp14:anchorId="7A97E592" wp14:editId="78AF6676">
            <wp:extent cx="6457950" cy="912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A83340">
      <w:headerReference w:type="default" r:id="rId12"/>
      <w:footerReference w:type="default" r:id="rId13"/>
      <w:pgSz w:w="11906" w:h="16838"/>
      <w:pgMar w:top="-472"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DFBA" w14:textId="77777777" w:rsidR="00237A2A" w:rsidRDefault="00237A2A" w:rsidP="00D542ED">
      <w:pPr>
        <w:spacing w:after="0" w:line="240" w:lineRule="auto"/>
      </w:pPr>
      <w:r>
        <w:separator/>
      </w:r>
    </w:p>
  </w:endnote>
  <w:endnote w:type="continuationSeparator" w:id="0">
    <w:p w14:paraId="2BD8D4C4" w14:textId="77777777" w:rsidR="00237A2A" w:rsidRDefault="00237A2A"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DF17" w14:textId="77777777" w:rsidR="00237A2A" w:rsidRDefault="00237A2A" w:rsidP="00D542ED">
      <w:pPr>
        <w:spacing w:after="0" w:line="240" w:lineRule="auto"/>
      </w:pPr>
      <w:r>
        <w:separator/>
      </w:r>
    </w:p>
  </w:footnote>
  <w:footnote w:type="continuationSeparator" w:id="0">
    <w:p w14:paraId="2D6B293B" w14:textId="77777777" w:rsidR="00237A2A" w:rsidRDefault="00237A2A"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0A92" w14:textId="5F0FEF1D" w:rsidR="00082EB1" w:rsidRPr="00D542ED" w:rsidRDefault="00082EB1" w:rsidP="00A83340">
    <w:pPr>
      <w:pStyle w:val="Header"/>
      <w:ind w:firstLine="720"/>
      <w:rPr>
        <w:lang w:val="en-US"/>
      </w:rPr>
    </w:pPr>
    <w:r>
      <w:rPr>
        <w:lang w:val="en-US"/>
      </w:rPr>
      <w:t xml:space="preserve">                                                                                                                                                                 </w:t>
    </w:r>
    <w:r w:rsidR="00A83340">
      <w:rPr>
        <w:noProof/>
        <w:lang w:val="en-US"/>
      </w:rPr>
      <w:drawing>
        <wp:inline distT="0" distB="0" distL="0" distR="0" wp14:anchorId="0155035B" wp14:editId="3A0E935D">
          <wp:extent cx="876300" cy="9750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c.png"/>
                  <pic:cNvPicPr/>
                </pic:nvPicPr>
                <pic:blipFill>
                  <a:blip r:embed="rId1">
                    <a:extLst>
                      <a:ext uri="{28A0092B-C50C-407E-A947-70E740481C1C}">
                        <a14:useLocalDpi xmlns:a14="http://schemas.microsoft.com/office/drawing/2010/main" val="0"/>
                      </a:ext>
                    </a:extLst>
                  </a:blip>
                  <a:stretch>
                    <a:fillRect/>
                  </a:stretch>
                </pic:blipFill>
                <pic:spPr>
                  <a:xfrm>
                    <a:off x="0" y="0"/>
                    <a:ext cx="886125" cy="98597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2794"/>
    <w:rsid w:val="00095199"/>
    <w:rsid w:val="000961CE"/>
    <w:rsid w:val="00096349"/>
    <w:rsid w:val="000A1F03"/>
    <w:rsid w:val="000A3C01"/>
    <w:rsid w:val="000A4AD6"/>
    <w:rsid w:val="000A6C8F"/>
    <w:rsid w:val="000B108C"/>
    <w:rsid w:val="000B1BB7"/>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1E06"/>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37A2A"/>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063E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3E78"/>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14E7"/>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77941"/>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307"/>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78B"/>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49A1"/>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6AC7"/>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73E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050F"/>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340"/>
    <w:rsid w:val="00A836F6"/>
    <w:rsid w:val="00A85150"/>
    <w:rsid w:val="00A9292A"/>
    <w:rsid w:val="00A92AE6"/>
    <w:rsid w:val="00A9489A"/>
    <w:rsid w:val="00A94DF3"/>
    <w:rsid w:val="00A95ACB"/>
    <w:rsid w:val="00A968FD"/>
    <w:rsid w:val="00AA0CAC"/>
    <w:rsid w:val="00AA1A9B"/>
    <w:rsid w:val="00AA2FB9"/>
    <w:rsid w:val="00AA46D9"/>
    <w:rsid w:val="00AA4863"/>
    <w:rsid w:val="00AA4B8E"/>
    <w:rsid w:val="00AB02B1"/>
    <w:rsid w:val="00AB069F"/>
    <w:rsid w:val="00AB1556"/>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AF7F28"/>
    <w:rsid w:val="00B100EE"/>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3567"/>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5E11"/>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0"/>
    <w:rsid w:val="00D76CF6"/>
    <w:rsid w:val="00D807DB"/>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3D5B"/>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hyperlink" Target="http://www.tenderer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21A1-C914-4D75-93CB-72B1F3E1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Ketevan Gujejiani</cp:lastModifiedBy>
  <cp:revision>29</cp:revision>
  <cp:lastPrinted>2013-09-20T06:20:00Z</cp:lastPrinted>
  <dcterms:created xsi:type="dcterms:W3CDTF">2020-02-21T11:25:00Z</dcterms:created>
  <dcterms:modified xsi:type="dcterms:W3CDTF">2021-10-20T08:32:00Z</dcterms:modified>
</cp:coreProperties>
</file>